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4B0E9" w14:textId="52A42BE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I </w:t>
      </w:r>
      <w:r w:rsidR="006E5AEC">
        <w:rPr>
          <w:rFonts w:ascii="Times New Roman" w:eastAsia="Times New Roman" w:hAnsi="Times New Roman" w:cs="Times New Roman"/>
          <w:kern w:val="0"/>
          <w:lang w:eastAsia="en-CA"/>
          <w14:ligatures w14:val="none"/>
        </w:rPr>
        <w:t>(ChatGBT)</w:t>
      </w:r>
      <w:r w:rsidR="00E364D0">
        <w:rPr>
          <w:rFonts w:ascii="Times New Roman" w:eastAsia="Times New Roman" w:hAnsi="Times New Roman" w:cs="Times New Roman"/>
          <w:kern w:val="0"/>
          <w:lang w:eastAsia="en-CA"/>
          <w14:ligatures w14:val="none"/>
        </w:rPr>
        <w:t xml:space="preserve"> </w:t>
      </w:r>
      <w:r w:rsidRPr="004504A9">
        <w:rPr>
          <w:rFonts w:ascii="Times New Roman" w:eastAsia="Times New Roman" w:hAnsi="Times New Roman" w:cs="Times New Roman"/>
          <w:kern w:val="0"/>
          <w:lang w:eastAsia="en-CA"/>
          <w14:ligatures w14:val="none"/>
        </w:rPr>
        <w:t xml:space="preserve">reviewed the latest available Deere &amp; Company (NYSE: DE) Annual Report (Form 10-K for the fiscal year ended </w:t>
      </w:r>
      <w:r w:rsidRPr="004504A9">
        <w:rPr>
          <w:rFonts w:ascii="Times New Roman" w:eastAsia="Times New Roman" w:hAnsi="Times New Roman" w:cs="Times New Roman"/>
          <w:b/>
          <w:bCs/>
          <w:kern w:val="0"/>
          <w:lang w:eastAsia="en-CA"/>
          <w14:ligatures w14:val="none"/>
        </w:rPr>
        <w:t>November 2, 2025</w:t>
      </w:r>
      <w:r w:rsidRPr="004504A9">
        <w:rPr>
          <w:rFonts w:ascii="Times New Roman" w:eastAsia="Times New Roman" w:hAnsi="Times New Roman" w:cs="Times New Roman"/>
          <w:kern w:val="0"/>
          <w:lang w:eastAsia="en-CA"/>
          <w14:ligatures w14:val="none"/>
        </w:rPr>
        <w:t xml:space="preserve">) and examined every reference to </w:t>
      </w:r>
      <w:r w:rsidRPr="004504A9">
        <w:rPr>
          <w:rFonts w:ascii="Times New Roman" w:eastAsia="Times New Roman" w:hAnsi="Times New Roman" w:cs="Times New Roman"/>
          <w:b/>
          <w:bCs/>
          <w:kern w:val="0"/>
          <w:lang w:eastAsia="en-CA"/>
          <w14:ligatures w14:val="none"/>
        </w:rPr>
        <w:t>"research and development"</w:t>
      </w:r>
      <w:r w:rsidRPr="004504A9">
        <w:rPr>
          <w:rFonts w:ascii="Times New Roman" w:eastAsia="Times New Roman" w:hAnsi="Times New Roman" w:cs="Times New Roman"/>
          <w:kern w:val="0"/>
          <w:lang w:eastAsia="en-CA"/>
          <w14:ligatures w14:val="none"/>
        </w:rPr>
        <w:t xml:space="preserve"> or </w:t>
      </w:r>
      <w:r w:rsidRPr="004504A9">
        <w:rPr>
          <w:rFonts w:ascii="Times New Roman" w:eastAsia="Times New Roman" w:hAnsi="Times New Roman" w:cs="Times New Roman"/>
          <w:b/>
          <w:bCs/>
          <w:kern w:val="0"/>
          <w:lang w:eastAsia="en-CA"/>
          <w14:ligatures w14:val="none"/>
        </w:rPr>
        <w:t>research and development expenses</w:t>
      </w:r>
      <w:r w:rsidRPr="004504A9">
        <w:rPr>
          <w:rFonts w:ascii="Times New Roman" w:eastAsia="Times New Roman" w:hAnsi="Times New Roman" w:cs="Times New Roman"/>
          <w:kern w:val="0"/>
          <w:lang w:eastAsia="en-CA"/>
          <w14:ligatures w14:val="none"/>
        </w:rPr>
        <w:t>. (</w:t>
      </w:r>
      <w:hyperlink r:id="rId7" w:tooltip="DEERE &amp; CO_November 2, 2025" w:history="1">
        <w:r w:rsidRPr="004504A9">
          <w:rPr>
            <w:rFonts w:ascii="Times New Roman" w:eastAsia="Times New Roman" w:hAnsi="Times New Roman" w:cs="Times New Roman"/>
            <w:color w:val="0000FF"/>
            <w:kern w:val="0"/>
            <w:u w:val="single"/>
            <w:lang w:eastAsia="en-CA"/>
            <w14:ligatures w14:val="none"/>
          </w:rPr>
          <w:t>SEC</w:t>
        </w:r>
      </w:hyperlink>
      <w:r w:rsidRPr="004504A9">
        <w:rPr>
          <w:rFonts w:ascii="Times New Roman" w:eastAsia="Times New Roman" w:hAnsi="Times New Roman" w:cs="Times New Roman"/>
          <w:kern w:val="0"/>
          <w:lang w:eastAsia="en-CA"/>
          <w14:ligatures w14:val="none"/>
        </w:rPr>
        <w:t>)</w:t>
      </w:r>
    </w:p>
    <w:p w14:paraId="1FD3D634" w14:textId="77777777" w:rsidR="004504A9" w:rsidRPr="004504A9" w:rsidRDefault="004504A9" w:rsidP="004504A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4504A9">
        <w:rPr>
          <w:rFonts w:ascii="Times New Roman" w:eastAsia="Times New Roman" w:hAnsi="Times New Roman" w:cs="Times New Roman"/>
          <w:b/>
          <w:bCs/>
          <w:kern w:val="0"/>
          <w:sz w:val="36"/>
          <w:szCs w:val="36"/>
          <w:lang w:eastAsia="en-CA"/>
          <w14:ligatures w14:val="none"/>
        </w:rPr>
        <w:t>All references to "research and development"</w:t>
      </w:r>
    </w:p>
    <w:p w14:paraId="1CCD5086" w14:textId="77777777" w:rsidR="004504A9" w:rsidRPr="004504A9" w:rsidRDefault="004504A9" w:rsidP="004504A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4504A9">
        <w:rPr>
          <w:rFonts w:ascii="Times New Roman" w:eastAsia="Times New Roman" w:hAnsi="Times New Roman" w:cs="Times New Roman"/>
          <w:b/>
          <w:bCs/>
          <w:kern w:val="0"/>
          <w:sz w:val="27"/>
          <w:szCs w:val="27"/>
          <w:lang w:eastAsia="en-CA"/>
          <w14:ligatures w14:val="none"/>
        </w:rPr>
        <w:t>1. Strategic discussion (Business section)</w:t>
      </w:r>
    </w:p>
    <w:p w14:paraId="0B96F109"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The report explicitly states that one of the pillars of Deere's Smart Industrial Operating Model is its </w:t>
      </w:r>
      <w:r w:rsidRPr="004504A9">
        <w:rPr>
          <w:rFonts w:ascii="Times New Roman" w:eastAsia="Times New Roman" w:hAnsi="Times New Roman" w:cs="Times New Roman"/>
          <w:b/>
          <w:bCs/>
          <w:kern w:val="0"/>
          <w:lang w:eastAsia="en-CA"/>
          <w14:ligatures w14:val="none"/>
        </w:rPr>
        <w:t>Technology Stack</w:t>
      </w:r>
      <w:r w:rsidRPr="004504A9">
        <w:rPr>
          <w:rFonts w:ascii="Times New Roman" w:eastAsia="Times New Roman" w:hAnsi="Times New Roman" w:cs="Times New Roman"/>
          <w:kern w:val="0"/>
          <w:lang w:eastAsia="en-CA"/>
          <w14:ligatures w14:val="none"/>
        </w:rPr>
        <w:t>, which includes:</w:t>
      </w:r>
    </w:p>
    <w:p w14:paraId="38A99D45"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"Investments in technology, as well as research and development..."</w:t>
      </w:r>
    </w:p>
    <w:p w14:paraId="5E031FFB"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The report explains that R&amp;D supports:</w:t>
      </w:r>
    </w:p>
    <w:p w14:paraId="38EEB7B3"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Intelligent hardware and devices</w:t>
      </w:r>
    </w:p>
    <w:p w14:paraId="390A2DDD"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Embedded software</w:t>
      </w:r>
    </w:p>
    <w:p w14:paraId="568E36F9"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Connectivity</w:t>
      </w:r>
    </w:p>
    <w:p w14:paraId="28DFD76F"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Data platforms</w:t>
      </w:r>
    </w:p>
    <w:p w14:paraId="2E588329"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Digital applications</w:t>
      </w:r>
    </w:p>
    <w:p w14:paraId="14AC7A76"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Automation</w:t>
      </w:r>
    </w:p>
    <w:p w14:paraId="37E2CE0B"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Machine learning</w:t>
      </w:r>
    </w:p>
    <w:p w14:paraId="13075949" w14:textId="77777777" w:rsidR="004504A9" w:rsidRPr="004504A9" w:rsidRDefault="004504A9" w:rsidP="004504A9">
      <w:pPr>
        <w:numPr>
          <w:ilvl w:val="0"/>
          <w:numId w:val="1"/>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Autonomous equipment</w:t>
      </w:r>
    </w:p>
    <w:p w14:paraId="1BF8FE78"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Management emphasizes that these investments are intended to:</w:t>
      </w:r>
    </w:p>
    <w:p w14:paraId="3A46F6DE" w14:textId="77777777" w:rsidR="004504A9" w:rsidRPr="004504A9" w:rsidRDefault="004504A9" w:rsidP="004504A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improve customer productivity</w:t>
      </w:r>
    </w:p>
    <w:p w14:paraId="4F79821B" w14:textId="77777777" w:rsidR="004504A9" w:rsidRPr="004504A9" w:rsidRDefault="004504A9" w:rsidP="004504A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optimize equipment operation</w:t>
      </w:r>
    </w:p>
    <w:p w14:paraId="03812F63" w14:textId="77777777" w:rsidR="004504A9" w:rsidRPr="004504A9" w:rsidRDefault="004504A9" w:rsidP="004504A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strengthen decision-making</w:t>
      </w:r>
    </w:p>
    <w:p w14:paraId="0E0399D2" w14:textId="77777777" w:rsidR="004504A9" w:rsidRPr="004504A9" w:rsidRDefault="004504A9" w:rsidP="004504A9">
      <w:pPr>
        <w:numPr>
          <w:ilvl w:val="0"/>
          <w:numId w:val="2"/>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generate both economic and sustainability benefits for customers. (</w:t>
      </w:r>
      <w:hyperlink r:id="rId8" w:tooltip="DEERE &amp; CO_November 2, 2025" w:history="1">
        <w:r w:rsidRPr="004504A9">
          <w:rPr>
            <w:rFonts w:ascii="Times New Roman" w:eastAsia="Times New Roman" w:hAnsi="Times New Roman" w:cs="Times New Roman"/>
            <w:color w:val="0000FF"/>
            <w:kern w:val="0"/>
            <w:u w:val="single"/>
            <w:lang w:eastAsia="en-CA"/>
            <w14:ligatures w14:val="none"/>
          </w:rPr>
          <w:t>SEC</w:t>
        </w:r>
      </w:hyperlink>
      <w:r w:rsidRPr="004504A9">
        <w:rPr>
          <w:rFonts w:ascii="Times New Roman" w:eastAsia="Times New Roman" w:hAnsi="Times New Roman" w:cs="Times New Roman"/>
          <w:kern w:val="0"/>
          <w:lang w:eastAsia="en-CA"/>
          <w14:ligatures w14:val="none"/>
        </w:rPr>
        <w:t>)</w:t>
      </w:r>
    </w:p>
    <w:p w14:paraId="3B30D140" w14:textId="77777777" w:rsidR="004504A9" w:rsidRPr="004504A9" w:rsidRDefault="004504A9" w:rsidP="004504A9">
      <w:pPr>
        <w:spacing w:after="0"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pict w14:anchorId="13B8A4AF">
          <v:rect id="_x0000_i1025" style="width:0;height:1.5pt" o:hralign="center" o:hrstd="t" o:hr="t" fillcolor="#a0a0a0" stroked="f"/>
        </w:pict>
      </w:r>
    </w:p>
    <w:p w14:paraId="5AD8546C" w14:textId="77777777" w:rsidR="004504A9" w:rsidRPr="004504A9" w:rsidRDefault="004504A9" w:rsidP="004504A9">
      <w:pPr>
        <w:spacing w:before="100" w:beforeAutospacing="1" w:after="100" w:afterAutospacing="1" w:line="240" w:lineRule="auto"/>
        <w:outlineLvl w:val="2"/>
        <w:rPr>
          <w:rFonts w:ascii="Times New Roman" w:eastAsia="Times New Roman" w:hAnsi="Times New Roman" w:cs="Times New Roman"/>
          <w:b/>
          <w:bCs/>
          <w:kern w:val="0"/>
          <w:sz w:val="27"/>
          <w:szCs w:val="27"/>
          <w:lang w:eastAsia="en-CA"/>
          <w14:ligatures w14:val="none"/>
        </w:rPr>
      </w:pPr>
      <w:r w:rsidRPr="004504A9">
        <w:rPr>
          <w:rFonts w:ascii="Times New Roman" w:eastAsia="Times New Roman" w:hAnsi="Times New Roman" w:cs="Times New Roman"/>
          <w:b/>
          <w:bCs/>
          <w:kern w:val="0"/>
          <w:sz w:val="27"/>
          <w:szCs w:val="27"/>
          <w:lang w:eastAsia="en-CA"/>
          <w14:ligatures w14:val="none"/>
        </w:rPr>
        <w:t>2. Financial Statements</w:t>
      </w:r>
    </w:p>
    <w:p w14:paraId="382B9AB6"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Research and Development appears as a separate operating expense on the Consolidated Statement of Income.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2"/>
        <w:gridCol w:w="2989"/>
      </w:tblGrid>
      <w:tr w:rsidR="004504A9" w:rsidRPr="004504A9" w14:paraId="7827D9F2" w14:textId="77777777">
        <w:trPr>
          <w:tblHeader/>
          <w:tblCellSpacing w:w="15" w:type="dxa"/>
        </w:trPr>
        <w:tc>
          <w:tcPr>
            <w:tcW w:w="0" w:type="auto"/>
            <w:vAlign w:val="center"/>
            <w:hideMark/>
          </w:tcPr>
          <w:p w14:paraId="7BDB0C09" w14:textId="77777777" w:rsidR="004504A9" w:rsidRPr="004504A9" w:rsidRDefault="004504A9" w:rsidP="004504A9">
            <w:pPr>
              <w:spacing w:after="0" w:line="240" w:lineRule="auto"/>
              <w:jc w:val="center"/>
              <w:rPr>
                <w:rFonts w:ascii="Times New Roman" w:eastAsia="Times New Roman" w:hAnsi="Times New Roman" w:cs="Times New Roman"/>
                <w:b/>
                <w:bCs/>
                <w:kern w:val="0"/>
                <w:lang w:eastAsia="en-CA"/>
                <w14:ligatures w14:val="none"/>
              </w:rPr>
            </w:pPr>
            <w:r w:rsidRPr="004504A9">
              <w:rPr>
                <w:rFonts w:ascii="Times New Roman" w:eastAsia="Times New Roman" w:hAnsi="Times New Roman" w:cs="Times New Roman"/>
                <w:b/>
                <w:bCs/>
                <w:kern w:val="0"/>
                <w:lang w:eastAsia="en-CA"/>
                <w14:ligatures w14:val="none"/>
              </w:rPr>
              <w:t>Fiscal Year</w:t>
            </w:r>
          </w:p>
        </w:tc>
        <w:tc>
          <w:tcPr>
            <w:tcW w:w="0" w:type="auto"/>
            <w:vAlign w:val="center"/>
            <w:hideMark/>
          </w:tcPr>
          <w:p w14:paraId="1D699FE5" w14:textId="77777777" w:rsidR="004504A9" w:rsidRPr="004504A9" w:rsidRDefault="004504A9" w:rsidP="004504A9">
            <w:pPr>
              <w:spacing w:after="0" w:line="240" w:lineRule="auto"/>
              <w:jc w:val="right"/>
              <w:rPr>
                <w:rFonts w:ascii="Times New Roman" w:eastAsia="Times New Roman" w:hAnsi="Times New Roman" w:cs="Times New Roman"/>
                <w:b/>
                <w:bCs/>
                <w:kern w:val="0"/>
                <w:lang w:eastAsia="en-CA"/>
                <w14:ligatures w14:val="none"/>
              </w:rPr>
            </w:pPr>
            <w:r w:rsidRPr="004504A9">
              <w:rPr>
                <w:rFonts w:ascii="Times New Roman" w:eastAsia="Times New Roman" w:hAnsi="Times New Roman" w:cs="Times New Roman"/>
                <w:b/>
                <w:bCs/>
                <w:kern w:val="0"/>
                <w:lang w:eastAsia="en-CA"/>
                <w14:ligatures w14:val="none"/>
              </w:rPr>
              <w:t>R&amp;D Expense (US$ billions)</w:t>
            </w:r>
          </w:p>
        </w:tc>
      </w:tr>
      <w:tr w:rsidR="004504A9" w:rsidRPr="004504A9" w14:paraId="7DA4EB27" w14:textId="77777777">
        <w:trPr>
          <w:tblCellSpacing w:w="15" w:type="dxa"/>
        </w:trPr>
        <w:tc>
          <w:tcPr>
            <w:tcW w:w="0" w:type="auto"/>
            <w:vAlign w:val="center"/>
            <w:hideMark/>
          </w:tcPr>
          <w:p w14:paraId="2BE11D3D" w14:textId="77777777" w:rsidR="004504A9" w:rsidRPr="004504A9" w:rsidRDefault="004504A9" w:rsidP="004504A9">
            <w:pPr>
              <w:spacing w:after="0"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2025</w:t>
            </w:r>
          </w:p>
        </w:tc>
        <w:tc>
          <w:tcPr>
            <w:tcW w:w="0" w:type="auto"/>
            <w:vAlign w:val="center"/>
            <w:hideMark/>
          </w:tcPr>
          <w:p w14:paraId="762B7E9B" w14:textId="77777777" w:rsidR="004504A9" w:rsidRPr="004504A9" w:rsidRDefault="004504A9" w:rsidP="004504A9">
            <w:pPr>
              <w:spacing w:after="0" w:line="240" w:lineRule="auto"/>
              <w:jc w:val="right"/>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b/>
                <w:bCs/>
                <w:kern w:val="0"/>
                <w:lang w:eastAsia="en-CA"/>
                <w14:ligatures w14:val="none"/>
              </w:rPr>
              <w:t>2.311</w:t>
            </w:r>
          </w:p>
        </w:tc>
      </w:tr>
      <w:tr w:rsidR="004504A9" w:rsidRPr="004504A9" w14:paraId="73600005" w14:textId="77777777">
        <w:trPr>
          <w:tblCellSpacing w:w="15" w:type="dxa"/>
        </w:trPr>
        <w:tc>
          <w:tcPr>
            <w:tcW w:w="0" w:type="auto"/>
            <w:vAlign w:val="center"/>
            <w:hideMark/>
          </w:tcPr>
          <w:p w14:paraId="3ADE3845" w14:textId="77777777" w:rsidR="004504A9" w:rsidRPr="004504A9" w:rsidRDefault="004504A9" w:rsidP="004504A9">
            <w:pPr>
              <w:spacing w:after="0"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2024</w:t>
            </w:r>
          </w:p>
        </w:tc>
        <w:tc>
          <w:tcPr>
            <w:tcW w:w="0" w:type="auto"/>
            <w:vAlign w:val="center"/>
            <w:hideMark/>
          </w:tcPr>
          <w:p w14:paraId="7A2187B4" w14:textId="77777777" w:rsidR="004504A9" w:rsidRPr="004504A9" w:rsidRDefault="004504A9" w:rsidP="004504A9">
            <w:pPr>
              <w:spacing w:after="0" w:line="240" w:lineRule="auto"/>
              <w:jc w:val="right"/>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b/>
                <w:bCs/>
                <w:kern w:val="0"/>
                <w:lang w:eastAsia="en-CA"/>
                <w14:ligatures w14:val="none"/>
              </w:rPr>
              <w:t>2.290</w:t>
            </w:r>
          </w:p>
        </w:tc>
      </w:tr>
      <w:tr w:rsidR="004504A9" w:rsidRPr="004504A9" w14:paraId="174CA9DB" w14:textId="77777777">
        <w:trPr>
          <w:tblCellSpacing w:w="15" w:type="dxa"/>
        </w:trPr>
        <w:tc>
          <w:tcPr>
            <w:tcW w:w="0" w:type="auto"/>
            <w:vAlign w:val="center"/>
            <w:hideMark/>
          </w:tcPr>
          <w:p w14:paraId="44EDB4EE" w14:textId="77777777" w:rsidR="004504A9" w:rsidRPr="004504A9" w:rsidRDefault="004504A9" w:rsidP="004504A9">
            <w:pPr>
              <w:spacing w:after="0"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2023</w:t>
            </w:r>
          </w:p>
        </w:tc>
        <w:tc>
          <w:tcPr>
            <w:tcW w:w="0" w:type="auto"/>
            <w:vAlign w:val="center"/>
            <w:hideMark/>
          </w:tcPr>
          <w:p w14:paraId="6E42E4B3" w14:textId="77777777" w:rsidR="004504A9" w:rsidRPr="004504A9" w:rsidRDefault="004504A9" w:rsidP="004504A9">
            <w:pPr>
              <w:spacing w:after="0" w:line="240" w:lineRule="auto"/>
              <w:jc w:val="right"/>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b/>
                <w:bCs/>
                <w:kern w:val="0"/>
                <w:lang w:eastAsia="en-CA"/>
                <w14:ligatures w14:val="none"/>
              </w:rPr>
              <w:t>2.177</w:t>
            </w:r>
          </w:p>
        </w:tc>
      </w:tr>
    </w:tbl>
    <w:p w14:paraId="731CEFBA"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lastRenderedPageBreak/>
        <w:t>This represents:</w:t>
      </w:r>
    </w:p>
    <w:p w14:paraId="3825A31D" w14:textId="77777777" w:rsidR="004504A9" w:rsidRPr="004504A9" w:rsidRDefault="004504A9" w:rsidP="004504A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approximately </w:t>
      </w:r>
      <w:r w:rsidRPr="004504A9">
        <w:rPr>
          <w:rFonts w:ascii="Times New Roman" w:eastAsia="Times New Roman" w:hAnsi="Times New Roman" w:cs="Times New Roman"/>
          <w:b/>
          <w:bCs/>
          <w:kern w:val="0"/>
          <w:lang w:eastAsia="en-CA"/>
          <w14:ligatures w14:val="none"/>
        </w:rPr>
        <w:t>0.9% growth</w:t>
      </w:r>
      <w:r w:rsidRPr="004504A9">
        <w:rPr>
          <w:rFonts w:ascii="Times New Roman" w:eastAsia="Times New Roman" w:hAnsi="Times New Roman" w:cs="Times New Roman"/>
          <w:kern w:val="0"/>
          <w:lang w:eastAsia="en-CA"/>
          <w14:ligatures w14:val="none"/>
        </w:rPr>
        <w:t xml:space="preserve"> from 2024 to 2025</w:t>
      </w:r>
    </w:p>
    <w:p w14:paraId="16EF62C9" w14:textId="77777777" w:rsidR="004504A9" w:rsidRPr="004504A9" w:rsidRDefault="004504A9" w:rsidP="004504A9">
      <w:pPr>
        <w:numPr>
          <w:ilvl w:val="0"/>
          <w:numId w:val="3"/>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approximately </w:t>
      </w:r>
      <w:r w:rsidRPr="004504A9">
        <w:rPr>
          <w:rFonts w:ascii="Times New Roman" w:eastAsia="Times New Roman" w:hAnsi="Times New Roman" w:cs="Times New Roman"/>
          <w:b/>
          <w:bCs/>
          <w:kern w:val="0"/>
          <w:lang w:eastAsia="en-CA"/>
          <w14:ligatures w14:val="none"/>
        </w:rPr>
        <w:t>6.2% growth</w:t>
      </w:r>
      <w:r w:rsidRPr="004504A9">
        <w:rPr>
          <w:rFonts w:ascii="Times New Roman" w:eastAsia="Times New Roman" w:hAnsi="Times New Roman" w:cs="Times New Roman"/>
          <w:kern w:val="0"/>
          <w:lang w:eastAsia="en-CA"/>
          <w14:ligatures w14:val="none"/>
        </w:rPr>
        <w:t xml:space="preserve"> over the two-year period</w:t>
      </w:r>
    </w:p>
    <w:p w14:paraId="78AD64ED"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Although company revenue declined materially in 2025 because of weaker agricultural equipment markets, Deere </w:t>
      </w:r>
      <w:r w:rsidRPr="004504A9">
        <w:rPr>
          <w:rFonts w:ascii="Times New Roman" w:eastAsia="Times New Roman" w:hAnsi="Times New Roman" w:cs="Times New Roman"/>
          <w:b/>
          <w:bCs/>
          <w:kern w:val="0"/>
          <w:lang w:eastAsia="en-CA"/>
          <w14:ligatures w14:val="none"/>
        </w:rPr>
        <w:t>did not materially reduce R&amp;D spending</w:t>
      </w:r>
      <w:r w:rsidRPr="004504A9">
        <w:rPr>
          <w:rFonts w:ascii="Times New Roman" w:eastAsia="Times New Roman" w:hAnsi="Times New Roman" w:cs="Times New Roman"/>
          <w:kern w:val="0"/>
          <w:lang w:eastAsia="en-CA"/>
          <w14:ligatures w14:val="none"/>
        </w:rPr>
        <w:t>, demonstrating continued commitment to technology development despite a cyclical downturn. (</w:t>
      </w:r>
      <w:hyperlink r:id="rId9" w:tooltip="2 0 2 5  A N N U A L  R E P O R T" w:history="1">
        <w:r w:rsidRPr="004504A9">
          <w:rPr>
            <w:rFonts w:ascii="Times New Roman" w:eastAsia="Times New Roman" w:hAnsi="Times New Roman" w:cs="Times New Roman"/>
            <w:color w:val="0000FF"/>
            <w:kern w:val="0"/>
            <w:u w:val="single"/>
            <w:lang w:eastAsia="en-CA"/>
            <w14:ligatures w14:val="none"/>
          </w:rPr>
          <w:t>SEC</w:t>
        </w:r>
      </w:hyperlink>
      <w:r w:rsidRPr="004504A9">
        <w:rPr>
          <w:rFonts w:ascii="Times New Roman" w:eastAsia="Times New Roman" w:hAnsi="Times New Roman" w:cs="Times New Roman"/>
          <w:kern w:val="0"/>
          <w:lang w:eastAsia="en-CA"/>
          <w14:ligatures w14:val="none"/>
        </w:rPr>
        <w:t>)</w:t>
      </w:r>
    </w:p>
    <w:p w14:paraId="2F05C2DF" w14:textId="77777777" w:rsidR="004504A9" w:rsidRPr="004504A9" w:rsidRDefault="004504A9" w:rsidP="004504A9">
      <w:pPr>
        <w:spacing w:after="0"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pict w14:anchorId="2D92780F">
          <v:rect id="_x0000_i1026" style="width:0;height:1.5pt" o:hralign="center" o:hrstd="t" o:hr="t" fillcolor="#a0a0a0" stroked="f"/>
        </w:pict>
      </w:r>
    </w:p>
    <w:p w14:paraId="0B11B8B6" w14:textId="77777777" w:rsidR="004504A9" w:rsidRPr="004504A9" w:rsidRDefault="004504A9" w:rsidP="004504A9">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4504A9">
        <w:rPr>
          <w:rFonts w:ascii="Times New Roman" w:eastAsia="Times New Roman" w:hAnsi="Times New Roman" w:cs="Times New Roman"/>
          <w:b/>
          <w:bCs/>
          <w:kern w:val="36"/>
          <w:sz w:val="48"/>
          <w:szCs w:val="48"/>
          <w:lang w:eastAsia="en-CA"/>
          <w14:ligatures w14:val="none"/>
        </w:rPr>
        <w:t>Two-page Summary of Findings</w:t>
      </w:r>
    </w:p>
    <w:p w14:paraId="41E7CD79" w14:textId="77777777" w:rsidR="004504A9" w:rsidRPr="004504A9" w:rsidRDefault="004504A9" w:rsidP="004504A9">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4504A9">
        <w:rPr>
          <w:rFonts w:ascii="Times New Roman" w:eastAsia="Times New Roman" w:hAnsi="Times New Roman" w:cs="Times New Roman"/>
          <w:b/>
          <w:bCs/>
          <w:kern w:val="0"/>
          <w:sz w:val="36"/>
          <w:szCs w:val="36"/>
          <w:lang w:eastAsia="en-CA"/>
          <w14:ligatures w14:val="none"/>
        </w:rPr>
        <w:t>Research and Development in Deere's 2025 Annual Report</w:t>
      </w:r>
    </w:p>
    <w:p w14:paraId="74C26D00"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Research and development occupies an important—although not especially lengthy—place within Deere &amp; Company's 2025 Annual Report. Unlike many technology companies that devote entire sections to innovation programs, Deere integrates research and development into its broader Smart Industrial strategy, emphasizing that innovation is fundamental to the company's long-term competitive position rather than a standalone initiative.</w:t>
      </w:r>
    </w:p>
    <w:p w14:paraId="61DC953B"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The report identifies research and development as a key component of Deere's Technology Stack. This technology platform encompasses hardware, embedded software, connectivity, digital applications, automation, machine learning, artificial intelligence, and autonomous equipment. Deere explains that investments in research and development enable these technologies to work together across multiple product lines, creating an integrated ecosystem rather than isolated products.</w:t>
      </w:r>
    </w:p>
    <w:p w14:paraId="6655D891"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One of the report's recurring themes is helping customers "do more with less." Deere positions R&amp;D as the mechanism through which customers can reduce labor requirements, improve productivity, optimize inputs such as fertilizer and seed, and make more informed operational decisions. Rather than emphasizing basic scientific research, Deere's innovation strategy is highly application-oriented, focusing on technologies that generate measurable economic value for farmers, contractors, and forestry operators.</w:t>
      </w:r>
    </w:p>
    <w:p w14:paraId="06620E3E"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The report also highlights how technologies developed for one business segment are increasingly transferred across others. For example, computer vision, cameras, radar systems, obstacle detection, machine learning algorithms, and digital operations platforms originally developed for agriculture are now being deployed within construction and forestry equipment. This suggests Deere views research and development as an enterprise-wide capability that produces scalable technologies with applications across multiple markets.</w:t>
      </w:r>
    </w:p>
    <w:p w14:paraId="7AC912A6"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lastRenderedPageBreak/>
        <w:t xml:space="preserve">Financially, Deere continues to invest heavily in innovation despite operating in a weaker agricultural cycle. Research and development expense increased from approximately </w:t>
      </w:r>
      <w:r w:rsidRPr="004504A9">
        <w:rPr>
          <w:rFonts w:ascii="Times New Roman" w:eastAsia="Times New Roman" w:hAnsi="Times New Roman" w:cs="Times New Roman"/>
          <w:b/>
          <w:bCs/>
          <w:kern w:val="0"/>
          <w:lang w:eastAsia="en-CA"/>
          <w14:ligatures w14:val="none"/>
        </w:rPr>
        <w:t>$2.29 billion in 2024 to $2.31 billion in 2025</w:t>
      </w:r>
      <w:r w:rsidRPr="004504A9">
        <w:rPr>
          <w:rFonts w:ascii="Times New Roman" w:eastAsia="Times New Roman" w:hAnsi="Times New Roman" w:cs="Times New Roman"/>
          <w:kern w:val="0"/>
          <w:lang w:eastAsia="en-CA"/>
          <w14:ligatures w14:val="none"/>
        </w:rPr>
        <w:t xml:space="preserve">, even while overall revenue and earnings declined. Net income attributable to Deere fell from roughly </w:t>
      </w:r>
      <w:r w:rsidRPr="004504A9">
        <w:rPr>
          <w:rFonts w:ascii="Times New Roman" w:eastAsia="Times New Roman" w:hAnsi="Times New Roman" w:cs="Times New Roman"/>
          <w:b/>
          <w:bCs/>
          <w:kern w:val="0"/>
          <w:lang w:eastAsia="en-CA"/>
          <w14:ligatures w14:val="none"/>
        </w:rPr>
        <w:t>$7.1 billion in 2024 to $5.0 billion in 2025</w:t>
      </w:r>
      <w:r w:rsidRPr="004504A9">
        <w:rPr>
          <w:rFonts w:ascii="Times New Roman" w:eastAsia="Times New Roman" w:hAnsi="Times New Roman" w:cs="Times New Roman"/>
          <w:kern w:val="0"/>
          <w:lang w:eastAsia="en-CA"/>
          <w14:ligatures w14:val="none"/>
        </w:rPr>
        <w:t>, yet management maintained R&amp;D expenditures at historically high levels. This indicates that the company treats research and development as a strategic investment rather than a discretionary expense that fluctuates significantly with short-term market conditions. (</w:t>
      </w:r>
      <w:hyperlink r:id="rId10" w:tooltip="2 0 2 5  A N N U A L  R E P O R T" w:history="1">
        <w:r w:rsidRPr="004504A9">
          <w:rPr>
            <w:rFonts w:ascii="Times New Roman" w:eastAsia="Times New Roman" w:hAnsi="Times New Roman" w:cs="Times New Roman"/>
            <w:color w:val="0000FF"/>
            <w:kern w:val="0"/>
            <w:u w:val="single"/>
            <w:lang w:eastAsia="en-CA"/>
            <w14:ligatures w14:val="none"/>
          </w:rPr>
          <w:t>SEC</w:t>
        </w:r>
      </w:hyperlink>
      <w:r w:rsidRPr="004504A9">
        <w:rPr>
          <w:rFonts w:ascii="Times New Roman" w:eastAsia="Times New Roman" w:hAnsi="Times New Roman" w:cs="Times New Roman"/>
          <w:kern w:val="0"/>
          <w:lang w:eastAsia="en-CA"/>
          <w14:ligatures w14:val="none"/>
        </w:rPr>
        <w:t>)</w:t>
      </w:r>
    </w:p>
    <w:p w14:paraId="0EDD5801"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Another noteworthy observation is the report's strong emphasis on digital capabilities. Research and development is no longer presented solely in terms of designing tractors or harvesting equipment. Instead, Deere increasingly frames innovation around software platforms, data analytics, autonomous systems, connectivity, machine learning, and lifecycle services. This reflects the company's broader transformation from a traditional equipment manufacturer toward a technology-enabled industrial company.</w:t>
      </w:r>
    </w:p>
    <w:p w14:paraId="5C85CED7"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The report provides relatively little quantitative detail regarding individual research programs, patent activity, engineering headcount, or project allocation. Investors are informed of total research and development spending but are not given a breakdown by business segment or technology category. Likewise, there is no discussion of expected return on R&amp;D investment or specific research milestones. Instead, Deere emphasizes strategic direction and customer outcomes rather than the mechanics of its research organization.</w:t>
      </w:r>
    </w:p>
    <w:p w14:paraId="145CFBF4"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Overall, the annual report conveys several important conclusions regarding Deere's approach to research and development:</w:t>
      </w:r>
    </w:p>
    <w:p w14:paraId="4E3A7E0E" w14:textId="0C97ECAC" w:rsidR="004504A9" w:rsidRPr="004504A9" w:rsidRDefault="004504A9" w:rsidP="004504A9">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Research and development </w:t>
      </w:r>
      <w:r w:rsidR="008B066F" w:rsidRPr="004504A9">
        <w:rPr>
          <w:rFonts w:ascii="Times New Roman" w:eastAsia="Times New Roman" w:hAnsi="Times New Roman" w:cs="Times New Roman"/>
          <w:kern w:val="0"/>
          <w:lang w:eastAsia="en-CA"/>
          <w14:ligatures w14:val="none"/>
        </w:rPr>
        <w:t>remain</w:t>
      </w:r>
      <w:r w:rsidRPr="004504A9">
        <w:rPr>
          <w:rFonts w:ascii="Times New Roman" w:eastAsia="Times New Roman" w:hAnsi="Times New Roman" w:cs="Times New Roman"/>
          <w:kern w:val="0"/>
          <w:lang w:eastAsia="en-CA"/>
          <w14:ligatures w14:val="none"/>
        </w:rPr>
        <w:t xml:space="preserve"> a core pillar of the Smart Industrial strategy.</w:t>
      </w:r>
    </w:p>
    <w:p w14:paraId="3502C4B1" w14:textId="77777777" w:rsidR="004504A9" w:rsidRPr="004504A9" w:rsidRDefault="004504A9" w:rsidP="004504A9">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Innovation increasingly centers on software, automation, artificial intelligence, machine learning, connectivity, and autonomous equipment.</w:t>
      </w:r>
    </w:p>
    <w:p w14:paraId="46407977" w14:textId="77777777" w:rsidR="004504A9" w:rsidRPr="004504A9" w:rsidRDefault="004504A9" w:rsidP="004504A9">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R&amp;D investments support multiple business segments through reusable technology platforms.</w:t>
      </w:r>
    </w:p>
    <w:p w14:paraId="3280A8CB" w14:textId="77777777" w:rsidR="004504A9" w:rsidRPr="004504A9" w:rsidRDefault="004504A9" w:rsidP="004504A9">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 xml:space="preserve">The company maintained more than </w:t>
      </w:r>
      <w:r w:rsidRPr="004504A9">
        <w:rPr>
          <w:rFonts w:ascii="Times New Roman" w:eastAsia="Times New Roman" w:hAnsi="Times New Roman" w:cs="Times New Roman"/>
          <w:b/>
          <w:bCs/>
          <w:kern w:val="0"/>
          <w:lang w:eastAsia="en-CA"/>
          <w14:ligatures w14:val="none"/>
        </w:rPr>
        <w:t>$2.3 billion</w:t>
      </w:r>
      <w:r w:rsidRPr="004504A9">
        <w:rPr>
          <w:rFonts w:ascii="Times New Roman" w:eastAsia="Times New Roman" w:hAnsi="Times New Roman" w:cs="Times New Roman"/>
          <w:kern w:val="0"/>
          <w:lang w:eastAsia="en-CA"/>
          <w14:ligatures w14:val="none"/>
        </w:rPr>
        <w:t xml:space="preserve"> in annual R&amp;D spending despite lower earnings, demonstrating long-term commitment.</w:t>
      </w:r>
    </w:p>
    <w:p w14:paraId="0CD83011" w14:textId="77777777" w:rsidR="004504A9" w:rsidRPr="004504A9" w:rsidRDefault="004504A9" w:rsidP="004504A9">
      <w:pPr>
        <w:numPr>
          <w:ilvl w:val="0"/>
          <w:numId w:val="4"/>
        </w:num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Deere positions innovation primarily as a means of improving customer productivity, sustainability, and operational efficiency rather than simply introducing new machinery.</w:t>
      </w:r>
    </w:p>
    <w:p w14:paraId="5CB8B81E" w14:textId="77777777" w:rsidR="004504A9" w:rsidRPr="004504A9" w:rsidRDefault="004504A9" w:rsidP="004504A9">
      <w:pPr>
        <w:spacing w:before="100" w:beforeAutospacing="1" w:after="100" w:afterAutospacing="1" w:line="240" w:lineRule="auto"/>
        <w:rPr>
          <w:rFonts w:ascii="Times New Roman" w:eastAsia="Times New Roman" w:hAnsi="Times New Roman" w:cs="Times New Roman"/>
          <w:kern w:val="0"/>
          <w:lang w:eastAsia="en-CA"/>
          <w14:ligatures w14:val="none"/>
        </w:rPr>
      </w:pPr>
      <w:r w:rsidRPr="004504A9">
        <w:rPr>
          <w:rFonts w:ascii="Times New Roman" w:eastAsia="Times New Roman" w:hAnsi="Times New Roman" w:cs="Times New Roman"/>
          <w:kern w:val="0"/>
          <w:lang w:eastAsia="en-CA"/>
          <w14:ligatures w14:val="none"/>
        </w:rPr>
        <w:t>Taken together, the report suggests that Deere views sustained research and development investment as essential to preserving its technological leadership and differentiating its products in increasingly competitive agricultural and construction equipment markets. The consistency of R&amp;D spending through an industry downturn reinforces management's view that innovation is a long-term strategic priority rather than an expense to be reduced during cyclical weakness. (</w:t>
      </w:r>
      <w:hyperlink r:id="rId11" w:tooltip="DEERE &amp; CO_November 2, 2025" w:history="1">
        <w:r w:rsidRPr="004504A9">
          <w:rPr>
            <w:rFonts w:ascii="Times New Roman" w:eastAsia="Times New Roman" w:hAnsi="Times New Roman" w:cs="Times New Roman"/>
            <w:color w:val="0000FF"/>
            <w:kern w:val="0"/>
            <w:u w:val="single"/>
            <w:lang w:eastAsia="en-CA"/>
            <w14:ligatures w14:val="none"/>
          </w:rPr>
          <w:t>SEC</w:t>
        </w:r>
      </w:hyperlink>
      <w:r w:rsidRPr="004504A9">
        <w:rPr>
          <w:rFonts w:ascii="Times New Roman" w:eastAsia="Times New Roman" w:hAnsi="Times New Roman" w:cs="Times New Roman"/>
          <w:kern w:val="0"/>
          <w:lang w:eastAsia="en-CA"/>
          <w14:ligatures w14:val="none"/>
        </w:rPr>
        <w:t>)</w:t>
      </w:r>
    </w:p>
    <w:p w14:paraId="68FFE6EC" w14:textId="77777777" w:rsidR="002736ED" w:rsidRDefault="002736ED"/>
    <w:sectPr w:rsidR="002736ED">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303B0" w14:textId="77777777" w:rsidR="00956C34" w:rsidRDefault="00956C34" w:rsidP="00B603E5">
      <w:pPr>
        <w:spacing w:after="0" w:line="240" w:lineRule="auto"/>
      </w:pPr>
      <w:r>
        <w:separator/>
      </w:r>
    </w:p>
  </w:endnote>
  <w:endnote w:type="continuationSeparator" w:id="0">
    <w:p w14:paraId="1B3CCCCC" w14:textId="77777777" w:rsidR="00956C34" w:rsidRDefault="00956C34" w:rsidP="00B6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D816" w14:textId="269354A1" w:rsidR="00D9668D" w:rsidRPr="00923D4D" w:rsidRDefault="00D9668D">
    <w:pPr>
      <w:pStyle w:val="Footer"/>
      <w:rPr>
        <w:rFonts w:ascii="Times New Roman" w:hAnsi="Times New Roman" w:cs="Times New Roman"/>
      </w:rPr>
    </w:pPr>
    <w:r w:rsidRPr="00923D4D">
      <w:rPr>
        <w:rFonts w:ascii="Times New Roman" w:hAnsi="Times New Roman" w:cs="Times New Roman"/>
      </w:rPr>
      <w:t>Researching and articulating innovation management best practices</w:t>
    </w:r>
  </w:p>
  <w:p w14:paraId="66C2AD42" w14:textId="77777777" w:rsidR="00D9668D" w:rsidRDefault="00D96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825D0" w14:textId="77777777" w:rsidR="00956C34" w:rsidRDefault="00956C34" w:rsidP="00B603E5">
      <w:pPr>
        <w:spacing w:after="0" w:line="240" w:lineRule="auto"/>
      </w:pPr>
      <w:r>
        <w:separator/>
      </w:r>
    </w:p>
  </w:footnote>
  <w:footnote w:type="continuationSeparator" w:id="0">
    <w:p w14:paraId="272A763A" w14:textId="77777777" w:rsidR="00956C34" w:rsidRDefault="00956C34" w:rsidP="00B60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A5A70" w14:textId="11F3D639" w:rsidR="00B603E5" w:rsidRDefault="00B603E5">
    <w:pPr>
      <w:pStyle w:val="Header"/>
      <w:rPr>
        <w:rFonts w:ascii="Times New Roman" w:hAnsi="Times New Roman" w:cs="Times New Roman"/>
        <w:b/>
        <w:bCs/>
        <w:sz w:val="32"/>
        <w:szCs w:val="32"/>
      </w:rPr>
    </w:pPr>
    <w:r w:rsidRPr="00B603E5">
      <w:rPr>
        <w:rFonts w:ascii="Times New Roman" w:hAnsi="Times New Roman" w:cs="Times New Roman"/>
        <w:b/>
        <w:bCs/>
        <w:caps/>
        <w:noProof/>
        <w:color w:val="808080" w:themeColor="background1" w:themeShade="80"/>
        <w:sz w:val="32"/>
        <w:szCs w:val="32"/>
      </w:rPr>
      <mc:AlternateContent>
        <mc:Choice Requires="wpg">
          <w:drawing>
            <wp:anchor distT="0" distB="0" distL="114300" distR="114300" simplePos="0" relativeHeight="251659264" behindDoc="0" locked="0" layoutInCell="1" allowOverlap="1" wp14:anchorId="5B0B14EE" wp14:editId="761A7B4B">
              <wp:simplePos x="0" y="0"/>
              <wp:positionH relativeFrom="left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914400" cy="1024128"/>
              <wp:effectExtent l="0" t="0" r="0" b="5080"/>
              <wp:wrapNone/>
              <wp:docPr id="158" name="Group 171"/>
              <wp:cNvGraphicFramePr/>
              <a:graphic xmlns:a="http://schemas.openxmlformats.org/drawingml/2006/main">
                <a:graphicData uri="http://schemas.microsoft.com/office/word/2010/wordprocessingGroup">
                  <wpg:wgp>
                    <wpg:cNvGrpSpPr/>
                    <wpg:grpSpPr>
                      <a:xfrm>
                        <a:off x="0" y="0"/>
                        <a:ext cx="914400"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0A319" w14:textId="77777777" w:rsidR="00B603E5" w:rsidRDefault="00B603E5">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0B14EE" id="Group 171" o:spid="_x0000_s1026" style="position:absolute;margin-left:20.8pt;margin-top:0;width:1in;height:80.65pt;z-index:251659264;mso-top-percent:23;mso-position-horizontal:right;mso-position-horizontal-relative:left-margin-area;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56082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1A0A319" w14:textId="77777777" w:rsidR="00B603E5" w:rsidRDefault="00B603E5">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margin" anchory="page"/>
            </v:group>
          </w:pict>
        </mc:Fallback>
      </mc:AlternateContent>
    </w:r>
    <w:r w:rsidRPr="00B603E5">
      <w:rPr>
        <w:rFonts w:ascii="Times New Roman" w:hAnsi="Times New Roman" w:cs="Times New Roman"/>
        <w:b/>
        <w:bCs/>
        <w:sz w:val="32"/>
        <w:szCs w:val="32"/>
      </w:rPr>
      <w:t>Corporate Innovation Online (CIO)</w:t>
    </w:r>
  </w:p>
  <w:p w14:paraId="1FC1E971" w14:textId="3304AE9F" w:rsidR="00B603E5" w:rsidRDefault="00B603E5">
    <w:pPr>
      <w:pStyle w:val="Header"/>
      <w:rPr>
        <w:rFonts w:ascii="Times New Roman" w:hAnsi="Times New Roman" w:cs="Times New Roman"/>
        <w:b/>
        <w:bCs/>
        <w:sz w:val="32"/>
        <w:szCs w:val="32"/>
      </w:rPr>
    </w:pPr>
    <w:r>
      <w:rPr>
        <w:rFonts w:ascii="Times New Roman" w:hAnsi="Times New Roman" w:cs="Times New Roman"/>
        <w:b/>
        <w:bCs/>
        <w:sz w:val="32"/>
        <w:szCs w:val="32"/>
      </w:rPr>
      <w:t>Innovation management best pra</w:t>
    </w:r>
    <w:r w:rsidR="00D9668D">
      <w:rPr>
        <w:rFonts w:ascii="Times New Roman" w:hAnsi="Times New Roman" w:cs="Times New Roman"/>
        <w:b/>
        <w:bCs/>
        <w:sz w:val="32"/>
        <w:szCs w:val="32"/>
      </w:rPr>
      <w:t>ctices</w:t>
    </w:r>
  </w:p>
  <w:p w14:paraId="3E38FD44" w14:textId="77777777" w:rsidR="00D9668D" w:rsidRPr="00B603E5" w:rsidRDefault="00D9668D">
    <w:pPr>
      <w:pStyle w:val="Header"/>
      <w:rPr>
        <w:rFonts w:ascii="Times New Roman" w:hAnsi="Times New Roman" w:cs="Times New Roman"/>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B9E"/>
    <w:multiLevelType w:val="multilevel"/>
    <w:tmpl w:val="566CC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A83543"/>
    <w:multiLevelType w:val="multilevel"/>
    <w:tmpl w:val="1DC2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5F4B7E"/>
    <w:multiLevelType w:val="multilevel"/>
    <w:tmpl w:val="C41E3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0C29C6"/>
    <w:multiLevelType w:val="multilevel"/>
    <w:tmpl w:val="8060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6487105">
    <w:abstractNumId w:val="3"/>
  </w:num>
  <w:num w:numId="2" w16cid:durableId="725570277">
    <w:abstractNumId w:val="2"/>
  </w:num>
  <w:num w:numId="3" w16cid:durableId="2045321519">
    <w:abstractNumId w:val="0"/>
  </w:num>
  <w:num w:numId="4" w16cid:durableId="200634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4A9"/>
    <w:rsid w:val="001E1C32"/>
    <w:rsid w:val="002736ED"/>
    <w:rsid w:val="00311925"/>
    <w:rsid w:val="004504A9"/>
    <w:rsid w:val="00482CCF"/>
    <w:rsid w:val="006E5AEC"/>
    <w:rsid w:val="008B066F"/>
    <w:rsid w:val="00923D4D"/>
    <w:rsid w:val="00956C34"/>
    <w:rsid w:val="00B603E5"/>
    <w:rsid w:val="00D17BC4"/>
    <w:rsid w:val="00D9668D"/>
    <w:rsid w:val="00E364D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DB3F"/>
  <w15:chartTrackingRefBased/>
  <w15:docId w15:val="{164846FB-3F5D-4684-901E-EC4F350F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0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0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0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0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0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0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0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0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0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0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0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0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0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0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0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0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04A9"/>
    <w:rPr>
      <w:rFonts w:eastAsiaTheme="majorEastAsia" w:cstheme="majorBidi"/>
      <w:color w:val="272727" w:themeColor="text1" w:themeTint="D8"/>
    </w:rPr>
  </w:style>
  <w:style w:type="paragraph" w:styleId="Title">
    <w:name w:val="Title"/>
    <w:basedOn w:val="Normal"/>
    <w:next w:val="Normal"/>
    <w:link w:val="TitleChar"/>
    <w:uiPriority w:val="10"/>
    <w:qFormat/>
    <w:rsid w:val="00450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0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0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0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04A9"/>
    <w:pPr>
      <w:spacing w:before="160"/>
      <w:jc w:val="center"/>
    </w:pPr>
    <w:rPr>
      <w:i/>
      <w:iCs/>
      <w:color w:val="404040" w:themeColor="text1" w:themeTint="BF"/>
    </w:rPr>
  </w:style>
  <w:style w:type="character" w:customStyle="1" w:styleId="QuoteChar">
    <w:name w:val="Quote Char"/>
    <w:basedOn w:val="DefaultParagraphFont"/>
    <w:link w:val="Quote"/>
    <w:uiPriority w:val="29"/>
    <w:rsid w:val="004504A9"/>
    <w:rPr>
      <w:i/>
      <w:iCs/>
      <w:color w:val="404040" w:themeColor="text1" w:themeTint="BF"/>
    </w:rPr>
  </w:style>
  <w:style w:type="paragraph" w:styleId="ListParagraph">
    <w:name w:val="List Paragraph"/>
    <w:basedOn w:val="Normal"/>
    <w:uiPriority w:val="34"/>
    <w:qFormat/>
    <w:rsid w:val="004504A9"/>
    <w:pPr>
      <w:ind w:left="720"/>
      <w:contextualSpacing/>
    </w:pPr>
  </w:style>
  <w:style w:type="character" w:styleId="IntenseEmphasis">
    <w:name w:val="Intense Emphasis"/>
    <w:basedOn w:val="DefaultParagraphFont"/>
    <w:uiPriority w:val="21"/>
    <w:qFormat/>
    <w:rsid w:val="004504A9"/>
    <w:rPr>
      <w:i/>
      <w:iCs/>
      <w:color w:val="0F4761" w:themeColor="accent1" w:themeShade="BF"/>
    </w:rPr>
  </w:style>
  <w:style w:type="paragraph" w:styleId="IntenseQuote">
    <w:name w:val="Intense Quote"/>
    <w:basedOn w:val="Normal"/>
    <w:next w:val="Normal"/>
    <w:link w:val="IntenseQuoteChar"/>
    <w:uiPriority w:val="30"/>
    <w:qFormat/>
    <w:rsid w:val="00450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04A9"/>
    <w:rPr>
      <w:i/>
      <w:iCs/>
      <w:color w:val="0F4761" w:themeColor="accent1" w:themeShade="BF"/>
    </w:rPr>
  </w:style>
  <w:style w:type="character" w:styleId="IntenseReference">
    <w:name w:val="Intense Reference"/>
    <w:basedOn w:val="DefaultParagraphFont"/>
    <w:uiPriority w:val="32"/>
    <w:qFormat/>
    <w:rsid w:val="004504A9"/>
    <w:rPr>
      <w:b/>
      <w:bCs/>
      <w:smallCaps/>
      <w:color w:val="0F4761" w:themeColor="accent1" w:themeShade="BF"/>
      <w:spacing w:val="5"/>
    </w:rPr>
  </w:style>
  <w:style w:type="paragraph" w:styleId="Header">
    <w:name w:val="header"/>
    <w:basedOn w:val="Normal"/>
    <w:link w:val="HeaderChar"/>
    <w:uiPriority w:val="99"/>
    <w:unhideWhenUsed/>
    <w:rsid w:val="00B603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3E5"/>
  </w:style>
  <w:style w:type="paragraph" w:styleId="Footer">
    <w:name w:val="footer"/>
    <w:basedOn w:val="Normal"/>
    <w:link w:val="FooterChar"/>
    <w:uiPriority w:val="99"/>
    <w:unhideWhenUsed/>
    <w:rsid w:val="00B603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gov/Archives/edgar/data/315189/000110465925122321/de-20251102x10k.htm?utm_source=chatgp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sec.gov/Archives/edgar/data/315189/000110465925122321/de-20251102x10k.htm?utm_source=chatgpt.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ec.gov/Archives/edgar/data/315189/000110465925122321/de-20251102x10k.htm?utm_source=chatgp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ec.gov/Archives/edgar/data/315189/000110465926003627/de-20251102xars.pdf?utm_source=chatgpt.com" TargetMode="External"/><Relationship Id="rId4" Type="http://schemas.openxmlformats.org/officeDocument/2006/relationships/webSettings" Target="webSettings.xml"/><Relationship Id="rId9" Type="http://schemas.openxmlformats.org/officeDocument/2006/relationships/hyperlink" Target="https://www.sec.gov/Archives/edgar/data/315189/000110465926003627/de-20251102xars.pdf?utm_source=chatgpt.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933</Words>
  <Characters>6277</Characters>
  <Application>Microsoft Office Word</Application>
  <DocSecurity>0</DocSecurity>
  <Lines>114</Lines>
  <Paragraphs>63</Paragraphs>
  <ScaleCrop>false</ScaleCrop>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White</dc:creator>
  <cp:keywords/>
  <dc:description/>
  <cp:lastModifiedBy>Paul White</cp:lastModifiedBy>
  <cp:revision>9</cp:revision>
  <dcterms:created xsi:type="dcterms:W3CDTF">2026-08-04T20:18:00Z</dcterms:created>
  <dcterms:modified xsi:type="dcterms:W3CDTF">2026-08-04T20:29:00Z</dcterms:modified>
</cp:coreProperties>
</file>